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4189"/>
        <w:gridCol w:w="4599"/>
      </w:tblGrid>
      <w:tr w:rsidR="00F02C16" w:rsidRPr="00143960" w:rsidTr="00033A5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tabs>
                <w:tab w:val="left" w:pos="0"/>
                <w:tab w:val="left" w:pos="708"/>
              </w:tabs>
              <w:ind w:right="-4394"/>
              <w:rPr>
                <w:rFonts w:ascii="Calibri" w:eastAsia="Calibri" w:hAnsi="Calibri" w:cs="Times New Roman"/>
              </w:rPr>
            </w:pPr>
            <w:r w:rsidRPr="00143960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7AFC166A" wp14:editId="33F4DADE">
                  <wp:extent cx="612140" cy="74739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" r="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 xml:space="preserve">Norske </w:t>
            </w:r>
          </w:p>
          <w:p w:rsidR="00F02C16" w:rsidRPr="00143960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>Sykehusfarmasøyters</w:t>
            </w:r>
          </w:p>
          <w:p w:rsidR="00F02C16" w:rsidRPr="00143960" w:rsidRDefault="00F02C16" w:rsidP="00033A54">
            <w:pPr>
              <w:spacing w:after="0" w:line="360" w:lineRule="auto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>Forening</w:t>
            </w:r>
          </w:p>
          <w:p w:rsidR="00F02C16" w:rsidRPr="00143960" w:rsidRDefault="00F02C16" w:rsidP="00033A54">
            <w:pPr>
              <w:spacing w:after="0"/>
              <w:rPr>
                <w:rFonts w:ascii="Calibri" w:eastAsia="Calibri" w:hAnsi="Calibri" w:cs="Times New Roman"/>
              </w:rPr>
            </w:pPr>
            <w:r w:rsidRPr="00143960">
              <w:rPr>
                <w:rFonts w:ascii="Arial" w:eastAsia="Calibri" w:hAnsi="Arial" w:cs="Times New Roman"/>
                <w:b/>
              </w:rPr>
              <w:t>www.sykehusfarmasi.org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keepNext/>
              <w:tabs>
                <w:tab w:val="left" w:pos="-142"/>
              </w:tabs>
              <w:spacing w:after="0" w:line="240" w:lineRule="auto"/>
              <w:ind w:left="-142"/>
              <w:outlineLvl w:val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nb-NO"/>
              </w:rPr>
            </w:pPr>
            <w:r w:rsidRPr="00143960"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nb-NO"/>
              </w:rPr>
              <w:t xml:space="preserve"> </w:t>
            </w:r>
          </w:p>
        </w:tc>
      </w:tr>
    </w:tbl>
    <w:p w:rsidR="00F02C16" w:rsidRPr="00143960" w:rsidRDefault="00F02C16" w:rsidP="00F02C16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02C16" w:rsidRPr="00143960" w:rsidRDefault="002B641E" w:rsidP="002B641E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Trondheim</w:t>
      </w:r>
      <w:r w:rsidR="00750A3A"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C5C1B"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1D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januar 2021</w:t>
      </w:r>
    </w:p>
    <w:p w:rsidR="00F02C16" w:rsidRPr="00143960" w:rsidRDefault="00530E34" w:rsidP="00F02C16">
      <w:pPr>
        <w:rPr>
          <w:rFonts w:ascii="Times New Roman" w:eastAsia="Calibri" w:hAnsi="Times New Roman" w:cs="Times New Roman"/>
          <w:sz w:val="24"/>
          <w:szCs w:val="24"/>
        </w:rPr>
      </w:pPr>
      <w:r w:rsidRPr="00143960">
        <w:rPr>
          <w:rFonts w:ascii="Times New Roman" w:eastAsia="Calibri" w:hAnsi="Times New Roman" w:cs="Times New Roman"/>
          <w:sz w:val="24"/>
          <w:szCs w:val="24"/>
        </w:rPr>
        <w:t>Helse- og omsorgsdepartementet</w:t>
      </w:r>
    </w:p>
    <w:p w:rsidR="00DD4FB2" w:rsidRPr="00143960" w:rsidRDefault="008E7FEE" w:rsidP="00F02C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3960">
        <w:rPr>
          <w:rFonts w:ascii="Tahoma" w:hAnsi="Tahoma" w:cs="Tahoma"/>
          <w:b/>
          <w:color w:val="282828"/>
          <w:sz w:val="24"/>
          <w:szCs w:val="24"/>
        </w:rPr>
        <w:t xml:space="preserve">Høring – </w:t>
      </w:r>
      <w:r w:rsidR="005B10FB">
        <w:rPr>
          <w:rFonts w:ascii="Tahoma" w:hAnsi="Tahoma" w:cs="Tahoma"/>
          <w:b/>
          <w:color w:val="282828"/>
          <w:sz w:val="24"/>
          <w:szCs w:val="24"/>
        </w:rPr>
        <w:t>Forskrift om legemiddelresepter og rekvisisjoner</w:t>
      </w:r>
    </w:p>
    <w:p w:rsidR="00F02C16" w:rsidRPr="00143960" w:rsidRDefault="00F02C16" w:rsidP="00F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i/>
          <w:sz w:val="20"/>
          <w:szCs w:val="20"/>
        </w:rPr>
      </w:pPr>
      <w:r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Norske Sykehusfarmasøyters Forening (NSF) har om lag </w:t>
      </w:r>
      <w:r w:rsidR="00AA2437" w:rsidRPr="00143960">
        <w:rPr>
          <w:rFonts w:ascii="Times New Roman" w:eastAsia="Calibri" w:hAnsi="Times New Roman" w:cs="Times New Roman"/>
          <w:i/>
          <w:sz w:val="20"/>
          <w:szCs w:val="20"/>
        </w:rPr>
        <w:t>40</w:t>
      </w:r>
      <w:r w:rsidRPr="00143960">
        <w:rPr>
          <w:rFonts w:ascii="Times New Roman" w:eastAsia="Calibri" w:hAnsi="Times New Roman" w:cs="Times New Roman"/>
          <w:i/>
          <w:sz w:val="20"/>
          <w:szCs w:val="20"/>
        </w:rPr>
        <w:t>0 medlemmer. Vi er en uavhengig interesseforening for sykehusfarmasøyter som arbeider i sykehusapotek, helseforetak eller er offentlig ansatte og har som oppgave å arbeide for sykehusfarmasiens utvikling. Våre medlemmer arbeider bl.a. med legemiddeltilvirkning, distribusjon og salg av legemidler, farmasøytisk rådgivning i ulike deler av helsetjenesten og med undervisning av helsepersonell i legemiddelhåndtering mm.</w:t>
      </w:r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 NSF er medlem av European Association </w:t>
      </w:r>
      <w:proofErr w:type="spellStart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>of</w:t>
      </w:r>
      <w:proofErr w:type="spellEnd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 Hospital </w:t>
      </w:r>
      <w:proofErr w:type="spellStart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>Pharmacists</w:t>
      </w:r>
      <w:proofErr w:type="spellEnd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 (EAHP).</w:t>
      </w:r>
    </w:p>
    <w:p w:rsidR="00766E11" w:rsidRPr="00143960" w:rsidRDefault="00766E11" w:rsidP="00766E11">
      <w:pPr>
        <w:shd w:val="clear" w:color="auto" w:fill="FFFFFF"/>
        <w:spacing w:after="0" w:line="240" w:lineRule="auto"/>
        <w:rPr>
          <w:color w:val="282828"/>
        </w:rPr>
      </w:pPr>
    </w:p>
    <w:p w:rsidR="00F8717E" w:rsidRDefault="00410D3F" w:rsidP="005B10FB">
      <w:pPr>
        <w:shd w:val="clear" w:color="auto" w:fill="FFFFFF"/>
        <w:spacing w:after="0" w:line="240" w:lineRule="auto"/>
        <w:rPr>
          <w:color w:val="282828"/>
        </w:rPr>
      </w:pPr>
      <w:r>
        <w:rPr>
          <w:color w:val="282828"/>
        </w:rPr>
        <w:t>Norske Sykehusfarmasøyters Forening</w:t>
      </w:r>
      <w:r w:rsidR="00143960" w:rsidRPr="00143960">
        <w:rPr>
          <w:color w:val="282828"/>
        </w:rPr>
        <w:t xml:space="preserve"> </w:t>
      </w:r>
      <w:r w:rsidR="008E7104">
        <w:rPr>
          <w:color w:val="282828"/>
        </w:rPr>
        <w:t xml:space="preserve">har følgende kommentarer til forslag til ny forskrift om legemiddelresepter og rekvisisjoner: </w:t>
      </w:r>
    </w:p>
    <w:p w:rsidR="00DA2D2C" w:rsidRDefault="00DA2D2C" w:rsidP="005B10FB">
      <w:pPr>
        <w:shd w:val="clear" w:color="auto" w:fill="FFFFFF"/>
        <w:spacing w:after="0" w:line="240" w:lineRule="auto"/>
        <w:rPr>
          <w:color w:val="282828"/>
        </w:rPr>
      </w:pPr>
    </w:p>
    <w:p w:rsidR="00023B27" w:rsidRDefault="00023B27" w:rsidP="00023B27">
      <w:pPr>
        <w:spacing w:after="0"/>
      </w:pPr>
      <w:r>
        <w:t>§ 2-3 Ap</w:t>
      </w:r>
      <w:r w:rsidRPr="00BB26B7">
        <w:t>otekva</w:t>
      </w:r>
      <w:r>
        <w:t>lg</w:t>
      </w:r>
    </w:p>
    <w:p w:rsidR="00914FF6" w:rsidRDefault="004D7D44" w:rsidP="004D7D44">
      <w:pPr>
        <w:spacing w:after="0"/>
      </w:pPr>
      <w:r>
        <w:t>Det er p</w:t>
      </w:r>
      <w:r w:rsidR="00023B27">
        <w:t xml:space="preserve">ositivt at det tas inn i </w:t>
      </w:r>
      <w:proofErr w:type="spellStart"/>
      <w:r w:rsidR="00023B27">
        <w:t>forskrift</w:t>
      </w:r>
      <w:r w:rsidR="006359C3">
        <w:t>en</w:t>
      </w:r>
      <w:proofErr w:type="spellEnd"/>
      <w:r w:rsidR="00023B27">
        <w:t xml:space="preserve"> at «Retten til fritt å velge apotek kan begrenses når</w:t>
      </w:r>
      <w:r w:rsidR="00526507">
        <w:t xml:space="preserve"> det foreligger særlige grunner».</w:t>
      </w:r>
      <w:r w:rsidR="00023B27">
        <w:t xml:space="preserve"> </w:t>
      </w:r>
      <w:r w:rsidR="00914FF6">
        <w:t>I p</w:t>
      </w:r>
      <w:r w:rsidR="00126EF0">
        <w:t xml:space="preserve">unkt 2.5.2 </w:t>
      </w:r>
      <w:r w:rsidR="00914FF6">
        <w:t xml:space="preserve">omtales «ekspederingsanmodning» </w:t>
      </w:r>
      <w:r w:rsidR="00126EF0">
        <w:t>hvor</w:t>
      </w:r>
      <w:r w:rsidR="00914FF6">
        <w:t xml:space="preserve"> «Departementet understreker at unntak</w:t>
      </w:r>
      <w:r w:rsidR="006359C3">
        <w:t>shjemmelen</w:t>
      </w:r>
      <w:r w:rsidR="00914FF6">
        <w:t xml:space="preserve"> ikke kan benyttes for å gi rekvirent eller apotek økonomiske fordeler»</w:t>
      </w:r>
      <w:r w:rsidR="00126EF0">
        <w:t xml:space="preserve"> (s.9)</w:t>
      </w:r>
      <w:r w:rsidR="00914FF6">
        <w:t xml:space="preserve">. </w:t>
      </w:r>
      <w:r w:rsidR="00126EF0">
        <w:t xml:space="preserve">I den forbindelse </w:t>
      </w:r>
      <w:r w:rsidR="00B7014F">
        <w:t>ønskes det nærmere presisert</w:t>
      </w:r>
      <w:r w:rsidR="00126EF0">
        <w:t xml:space="preserve"> som ligger i «særlige grunner» og/eller «økonomiske fordeler»</w:t>
      </w:r>
      <w:r>
        <w:t xml:space="preserve">. </w:t>
      </w:r>
      <w:r w:rsidR="00B7014F">
        <w:t>Det er</w:t>
      </w:r>
      <w:r>
        <w:t xml:space="preserve"> uklart om man kan </w:t>
      </w:r>
      <w:r w:rsidR="00914FF6">
        <w:t>bruke ekspederingsanmoding på H-resepter for å sikre at LIS-avtaler følge</w:t>
      </w:r>
      <w:r w:rsidR="00B7014F">
        <w:t>s ved første gangs ekspedisjon</w:t>
      </w:r>
      <w:r>
        <w:t xml:space="preserve">. </w:t>
      </w:r>
    </w:p>
    <w:p w:rsidR="00914FF6" w:rsidRDefault="00914FF6" w:rsidP="00023B27">
      <w:pPr>
        <w:spacing w:after="0"/>
      </w:pPr>
    </w:p>
    <w:p w:rsidR="00023B27" w:rsidRPr="007A51AC" w:rsidRDefault="00BB26B7" w:rsidP="00B955F8">
      <w:pPr>
        <w:rPr>
          <w:b/>
          <w:bCs/>
          <w:szCs w:val="23"/>
        </w:rPr>
      </w:pPr>
      <w:r w:rsidRPr="00BB26B7">
        <w:rPr>
          <w:bCs/>
          <w:szCs w:val="23"/>
        </w:rPr>
        <w:t>§ 3-1 Lege og tannleges rett til rekvirering</w:t>
      </w:r>
      <w:r w:rsidRPr="00BB26B7">
        <w:rPr>
          <w:b/>
          <w:bCs/>
          <w:szCs w:val="23"/>
        </w:rPr>
        <w:t xml:space="preserve"> </w:t>
      </w:r>
      <w:r w:rsidR="007A51AC">
        <w:rPr>
          <w:b/>
          <w:bCs/>
          <w:szCs w:val="23"/>
        </w:rPr>
        <w:br/>
      </w:r>
      <w:r w:rsidR="00B7014F">
        <w:t>NSF</w:t>
      </w:r>
      <w:r>
        <w:t xml:space="preserve"> støtter</w:t>
      </w:r>
      <w:r w:rsidR="006A0B09">
        <w:t xml:space="preserve"> at det stilles krav til at legemidler skal rekvireres som bruksferdige legemidler med mindre legemidlets</w:t>
      </w:r>
      <w:r w:rsidR="007A51AC">
        <w:t xml:space="preserve"> holdbarhet forhindrer det. Dette bidrar til å sikre riktig bruk av legemidler både i og utenfor sykehus. </w:t>
      </w:r>
    </w:p>
    <w:p w:rsidR="00B955F8" w:rsidRPr="00E8680B" w:rsidRDefault="007A51AC" w:rsidP="00E868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680B">
        <w:rPr>
          <w:rFonts w:asciiTheme="minorHAnsi" w:hAnsiTheme="minorHAnsi" w:cstheme="minorHAnsi"/>
          <w:bCs/>
          <w:sz w:val="22"/>
          <w:szCs w:val="22"/>
        </w:rPr>
        <w:t>§ 3-2 Leger, særregler</w:t>
      </w:r>
      <w:r w:rsidRPr="00E868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680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60D7D">
        <w:rPr>
          <w:rFonts w:asciiTheme="minorHAnsi" w:hAnsiTheme="minorHAnsi" w:cstheme="minorHAnsi"/>
          <w:sz w:val="22"/>
          <w:szCs w:val="22"/>
        </w:rPr>
        <w:t>Norske Sykehusfarmasøyters Forening er enig</w:t>
      </w:r>
      <w:r w:rsidR="00B5444E" w:rsidRPr="00E8680B">
        <w:rPr>
          <w:rFonts w:asciiTheme="minorHAnsi" w:hAnsiTheme="minorHAnsi" w:cstheme="minorHAnsi"/>
          <w:sz w:val="22"/>
          <w:szCs w:val="22"/>
        </w:rPr>
        <w:t xml:space="preserve"> i at det er et behov for å presisere hva som ligger i studentlisens, og støtter forslaget om å henvise</w:t>
      </w:r>
      <w:r w:rsidR="00B955F8" w:rsidRPr="00E8680B">
        <w:rPr>
          <w:rFonts w:asciiTheme="minorHAnsi" w:hAnsiTheme="minorHAnsi" w:cstheme="minorHAnsi"/>
          <w:sz w:val="22"/>
          <w:szCs w:val="22"/>
        </w:rPr>
        <w:t xml:space="preserve"> til forskrift</w:t>
      </w:r>
      <w:r w:rsidR="004B11D0">
        <w:rPr>
          <w:rFonts w:asciiTheme="minorHAnsi" w:hAnsiTheme="minorHAnsi" w:cstheme="minorHAnsi"/>
          <w:sz w:val="22"/>
          <w:szCs w:val="22"/>
        </w:rPr>
        <w:t xml:space="preserve"> om lisens til helsepersonell § </w:t>
      </w:r>
      <w:r w:rsidR="00B955F8" w:rsidRPr="00E8680B">
        <w:rPr>
          <w:rFonts w:asciiTheme="minorHAnsi" w:hAnsiTheme="minorHAnsi" w:cstheme="minorHAnsi"/>
          <w:sz w:val="22"/>
          <w:szCs w:val="22"/>
        </w:rPr>
        <w:t>4 i forskriftsutkastet § 3-2, annet ledd.</w:t>
      </w:r>
      <w:r w:rsidR="00B5444E" w:rsidRPr="00E8680B">
        <w:rPr>
          <w:rFonts w:asciiTheme="minorHAnsi" w:hAnsiTheme="minorHAnsi" w:cstheme="minorHAnsi"/>
          <w:sz w:val="22"/>
          <w:szCs w:val="22"/>
        </w:rPr>
        <w:t xml:space="preserve"> Det hadde vært ønskelig med </w:t>
      </w:r>
      <w:r w:rsidR="004B11D0">
        <w:rPr>
          <w:rFonts w:asciiTheme="minorHAnsi" w:hAnsiTheme="minorHAnsi" w:cstheme="minorHAnsi"/>
          <w:sz w:val="22"/>
          <w:szCs w:val="22"/>
        </w:rPr>
        <w:t xml:space="preserve">tydeligere </w:t>
      </w:r>
      <w:r w:rsidR="00B5444E" w:rsidRPr="00E8680B">
        <w:rPr>
          <w:rFonts w:asciiTheme="minorHAnsi" w:hAnsiTheme="minorHAnsi" w:cstheme="minorHAnsi"/>
          <w:sz w:val="22"/>
          <w:szCs w:val="22"/>
        </w:rPr>
        <w:t xml:space="preserve">presisering </w:t>
      </w:r>
      <w:r w:rsidR="00C60D7D">
        <w:rPr>
          <w:rFonts w:asciiTheme="minorHAnsi" w:hAnsiTheme="minorHAnsi" w:cstheme="minorHAnsi"/>
          <w:sz w:val="22"/>
          <w:szCs w:val="22"/>
        </w:rPr>
        <w:t>av</w:t>
      </w:r>
      <w:r w:rsidR="00CB1E40">
        <w:rPr>
          <w:rFonts w:asciiTheme="minorHAnsi" w:hAnsiTheme="minorHAnsi" w:cstheme="minorHAnsi"/>
          <w:sz w:val="22"/>
          <w:szCs w:val="22"/>
        </w:rPr>
        <w:t xml:space="preserve"> at det dreier seg om rekvirering i </w:t>
      </w:r>
      <w:r w:rsidR="0030289C">
        <w:rPr>
          <w:rFonts w:asciiTheme="minorHAnsi" w:hAnsiTheme="minorHAnsi" w:cstheme="minorHAnsi"/>
          <w:sz w:val="22"/>
          <w:szCs w:val="22"/>
        </w:rPr>
        <w:t>sammenheng</w:t>
      </w:r>
      <w:r w:rsidR="00CB1E40">
        <w:rPr>
          <w:rFonts w:asciiTheme="minorHAnsi" w:hAnsiTheme="minorHAnsi" w:cstheme="minorHAnsi"/>
          <w:sz w:val="22"/>
          <w:szCs w:val="22"/>
        </w:rPr>
        <w:t xml:space="preserve"> med arbeid. </w:t>
      </w:r>
      <w:r w:rsidR="00C60D7D">
        <w:rPr>
          <w:rFonts w:asciiTheme="minorHAnsi" w:hAnsiTheme="minorHAnsi" w:cstheme="minorHAnsi"/>
          <w:sz w:val="22"/>
          <w:szCs w:val="22"/>
        </w:rPr>
        <w:t>Det</w:t>
      </w:r>
      <w:r w:rsidR="0030289C">
        <w:rPr>
          <w:rFonts w:asciiTheme="minorHAnsi" w:hAnsiTheme="minorHAnsi" w:cstheme="minorHAnsi"/>
          <w:sz w:val="22"/>
          <w:szCs w:val="22"/>
        </w:rPr>
        <w:t xml:space="preserve"> knyttes</w:t>
      </w:r>
      <w:r w:rsidR="00C60D7D">
        <w:rPr>
          <w:rFonts w:asciiTheme="minorHAnsi" w:hAnsiTheme="minorHAnsi" w:cstheme="minorHAnsi"/>
          <w:sz w:val="22"/>
          <w:szCs w:val="22"/>
        </w:rPr>
        <w:t xml:space="preserve"> ofte</w:t>
      </w:r>
      <w:r w:rsidR="0030289C">
        <w:rPr>
          <w:rFonts w:asciiTheme="minorHAnsi" w:hAnsiTheme="minorHAnsi" w:cstheme="minorHAnsi"/>
          <w:sz w:val="22"/>
          <w:szCs w:val="22"/>
        </w:rPr>
        <w:t xml:space="preserve"> usikkerhet </w:t>
      </w:r>
      <w:r w:rsidR="00C60D7D">
        <w:rPr>
          <w:rFonts w:asciiTheme="minorHAnsi" w:hAnsiTheme="minorHAnsi" w:cstheme="minorHAnsi"/>
          <w:sz w:val="22"/>
          <w:szCs w:val="22"/>
        </w:rPr>
        <w:t xml:space="preserve">til </w:t>
      </w:r>
      <w:r w:rsidR="0030289C">
        <w:rPr>
          <w:rFonts w:asciiTheme="minorHAnsi" w:hAnsiTheme="minorHAnsi" w:cstheme="minorHAnsi"/>
          <w:sz w:val="22"/>
          <w:szCs w:val="22"/>
        </w:rPr>
        <w:t>rekvirering av</w:t>
      </w:r>
      <w:r w:rsidR="00B5444E" w:rsidRPr="00E8680B">
        <w:rPr>
          <w:rFonts w:asciiTheme="minorHAnsi" w:hAnsiTheme="minorHAnsi" w:cstheme="minorHAnsi"/>
          <w:sz w:val="22"/>
          <w:szCs w:val="22"/>
        </w:rPr>
        <w:t xml:space="preserve"> blåresepter og legemidler til eget bruk, </w:t>
      </w:r>
      <w:r w:rsidR="0030289C">
        <w:rPr>
          <w:rFonts w:asciiTheme="minorHAnsi" w:hAnsiTheme="minorHAnsi" w:cstheme="minorHAnsi"/>
          <w:sz w:val="22"/>
          <w:szCs w:val="22"/>
        </w:rPr>
        <w:t xml:space="preserve">og at dette er noe som bør komme tydelig frem. </w:t>
      </w:r>
      <w:r w:rsidR="00B5444E" w:rsidRPr="00E868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55F8" w:rsidRDefault="00B955F8" w:rsidP="00023B27">
      <w:pPr>
        <w:spacing w:after="0"/>
      </w:pPr>
    </w:p>
    <w:p w:rsidR="00023B27" w:rsidRDefault="00023B27" w:rsidP="00023B27">
      <w:pPr>
        <w:spacing w:after="0"/>
      </w:pPr>
      <w:r>
        <w:t>§3-3 Tannleger, særregler</w:t>
      </w:r>
    </w:p>
    <w:p w:rsidR="00023B27" w:rsidRDefault="00023B27" w:rsidP="00023B27">
      <w:pPr>
        <w:spacing w:after="0"/>
      </w:pPr>
      <w:r>
        <w:t xml:space="preserve">Det støttes at tannlegers rett til å rekvirere A- og B-preparater knyttes til ATC-koder </w:t>
      </w:r>
      <w:r w:rsidR="00C60D7D">
        <w:t>på gruppenivå fremfor spesifikke virkestoffer</w:t>
      </w:r>
      <w:r>
        <w:t>.</w:t>
      </w:r>
      <w:r w:rsidR="006D603F" w:rsidRPr="006D603F">
        <w:t xml:space="preserve"> Det hadde vært ønskelig med tydeligere presisering </w:t>
      </w:r>
      <w:r w:rsidR="00C60D7D">
        <w:t>av</w:t>
      </w:r>
      <w:r w:rsidR="000B459A">
        <w:t xml:space="preserve"> tannlegers rett til rekvirering til eget bruk, da det o</w:t>
      </w:r>
      <w:r w:rsidR="003F4EA5">
        <w:t xml:space="preserve">fte er usikkerhet knyttet til </w:t>
      </w:r>
      <w:r w:rsidR="009B1A12">
        <w:t>om dette er tillatt eller ikke.</w:t>
      </w:r>
    </w:p>
    <w:p w:rsidR="00023B27" w:rsidRDefault="00023B27" w:rsidP="00023B27">
      <w:pPr>
        <w:spacing w:after="0"/>
      </w:pPr>
      <w:r>
        <w:lastRenderedPageBreak/>
        <w:t>§ 4-2 Skriftlig rekvirering</w:t>
      </w:r>
      <w:r w:rsidR="00B243D9">
        <w:br/>
      </w:r>
      <w:r w:rsidR="00DD4DBA">
        <w:t>Det er bra</w:t>
      </w:r>
      <w:r>
        <w:t xml:space="preserve"> at mulighet til rekvirering på papir og muntlig rekvireri</w:t>
      </w:r>
      <w:r w:rsidR="00132AFD">
        <w:t>ng videreføres for å sikre nødvendig helsehjelp ved eventuell</w:t>
      </w:r>
      <w:r>
        <w:t xml:space="preserve"> driftsstans/datatekniske problemer.</w:t>
      </w:r>
      <w:r w:rsidR="00805D31">
        <w:t xml:space="preserve"> </w:t>
      </w:r>
      <w:r w:rsidR="00132AFD">
        <w:t>Forslaget</w:t>
      </w:r>
      <w:r>
        <w:t xml:space="preserve"> om at kun e-resepter kan reitereres</w:t>
      </w:r>
      <w:r w:rsidR="00132AFD">
        <w:t xml:space="preserve"> støttes</w:t>
      </w:r>
      <w:r>
        <w:t xml:space="preserve">. </w:t>
      </w:r>
    </w:p>
    <w:p w:rsidR="00023B27" w:rsidRDefault="00023B27" w:rsidP="00023B27">
      <w:pPr>
        <w:spacing w:after="0"/>
      </w:pPr>
    </w:p>
    <w:p w:rsidR="00023B27" w:rsidRDefault="00023B27" w:rsidP="00023B27">
      <w:pPr>
        <w:spacing w:after="0"/>
      </w:pPr>
      <w:r>
        <w:t>§ 4-4 Resepter og rekvisisjoners gyldighetstid</w:t>
      </w:r>
    </w:p>
    <w:p w:rsidR="00805D31" w:rsidRDefault="00023B27" w:rsidP="00805D31">
      <w:pPr>
        <w:spacing w:after="0"/>
      </w:pPr>
      <w:r>
        <w:t>Gyldighetstid for resepter er som hovedregel 1 år. En utfordring med reseptformidleren</w:t>
      </w:r>
      <w:r w:rsidR="00DD4DBA">
        <w:t xml:space="preserve"> (RF)</w:t>
      </w:r>
      <w:r>
        <w:t xml:space="preserve"> er manglende rydding/tilbakekalling slik at RF inneholder svært mange uaktuelle resepter. Dersom gyldighetstiden for resepter utvides til mer enn 1 år vil dette problemet trolig øke i omfang med mulig konsekvens for pasientsikkerheten. Resepter på</w:t>
      </w:r>
      <w:r w:rsidR="00A923CC">
        <w:t xml:space="preserve"> forbruksmateriell som</w:t>
      </w:r>
      <w:r>
        <w:t xml:space="preserve"> di</w:t>
      </w:r>
      <w:r w:rsidR="00A923CC">
        <w:t>abetesutstyr, inkontinensutstyr,</w:t>
      </w:r>
      <w:r>
        <w:t xml:space="preserve"> </w:t>
      </w:r>
      <w:r w:rsidR="00A923CC">
        <w:t>næringsmidler m.m.</w:t>
      </w:r>
      <w:r>
        <w:t xml:space="preserve"> kan med fordel ha en gyldighet på mer enn 1 år.</w:t>
      </w:r>
    </w:p>
    <w:p w:rsidR="00805D31" w:rsidRDefault="00805D31" w:rsidP="00805D31">
      <w:pPr>
        <w:spacing w:after="0"/>
        <w:rPr>
          <w:color w:val="1F497D"/>
        </w:rPr>
      </w:pPr>
      <w:r>
        <w:rPr>
          <w:color w:val="1F497D"/>
        </w:rPr>
        <w:t xml:space="preserve"> </w:t>
      </w:r>
    </w:p>
    <w:p w:rsidR="008D6861" w:rsidRPr="002D43DA" w:rsidRDefault="008D6861" w:rsidP="00023B27">
      <w:pPr>
        <w:spacing w:after="0"/>
      </w:pPr>
      <w:r w:rsidRPr="002D43DA">
        <w:t xml:space="preserve">Med </w:t>
      </w:r>
      <w:r w:rsidR="005E08CF" w:rsidRPr="002D43DA">
        <w:t>innføring av pa</w:t>
      </w:r>
      <w:r w:rsidR="009B1BB4" w:rsidRPr="002D43DA">
        <w:t>sientens legemiddelliste (</w:t>
      </w:r>
      <w:r w:rsidRPr="002D43DA">
        <w:t>PLL</w:t>
      </w:r>
      <w:r w:rsidR="009B1BB4" w:rsidRPr="002D43DA">
        <w:t>)</w:t>
      </w:r>
      <w:r w:rsidRPr="002D43DA">
        <w:t xml:space="preserve"> </w:t>
      </w:r>
      <w:r w:rsidR="007772B5" w:rsidRPr="002D43DA">
        <w:t xml:space="preserve">kunne </w:t>
      </w:r>
      <w:r w:rsidRPr="002D43DA">
        <w:t>man</w:t>
      </w:r>
      <w:r w:rsidR="007772B5" w:rsidRPr="002D43DA">
        <w:t xml:space="preserve"> ha</w:t>
      </w:r>
      <w:r w:rsidRPr="002D43DA">
        <w:t xml:space="preserve"> </w:t>
      </w:r>
      <w:r w:rsidR="007772B5" w:rsidRPr="002D43DA">
        <w:t>vurdert</w:t>
      </w:r>
      <w:r w:rsidR="005E08CF" w:rsidRPr="002D43DA">
        <w:t xml:space="preserve"> å gå</w:t>
      </w:r>
      <w:r w:rsidRPr="002D43DA">
        <w:t xml:space="preserve"> over til en forordningsløsning hvor pasienter har forordnet legemidler som aktiv</w:t>
      </w:r>
      <w:r w:rsidR="007772B5" w:rsidRPr="002D43DA">
        <w:t>t</w:t>
      </w:r>
      <w:r w:rsidRPr="002D43DA">
        <w:t xml:space="preserve"> må seponeres. Med dette menes at man har en evigvarende «resept» med ubegrenset antall </w:t>
      </w:r>
      <w:r w:rsidR="00132AFD">
        <w:t xml:space="preserve">utleveringer </w:t>
      </w:r>
      <w:r w:rsidRPr="002D43DA">
        <w:t>hvor uttak reguleres på en lik måte som i dag</w:t>
      </w:r>
      <w:r w:rsidR="005E08CF" w:rsidRPr="002D43DA">
        <w:t xml:space="preserve"> </w:t>
      </w:r>
      <w:r w:rsidR="00132AFD">
        <w:t>(3-mnd HELFO-</w:t>
      </w:r>
      <w:r w:rsidR="007772B5" w:rsidRPr="002D43DA">
        <w:t>utlevering).</w:t>
      </w:r>
      <w:r w:rsidR="00132AFD">
        <w:t xml:space="preserve"> Innføring av PLL vil gi legene bedre oversikt og forenkle arbeidet med legemiddelgjennomgang</w:t>
      </w:r>
      <w:r w:rsidR="0099507A">
        <w:t>.</w:t>
      </w:r>
      <w:r w:rsidR="005E08CF" w:rsidRPr="002D43DA">
        <w:t xml:space="preserve"> </w:t>
      </w:r>
      <w:r w:rsidR="007772B5" w:rsidRPr="002D43DA">
        <w:t>D</w:t>
      </w:r>
      <w:r w:rsidR="005F7AD8" w:rsidRPr="002D43DA">
        <w:t>ersom mindre reseptskriving frigir tid til å sikre at legemiddelliste</w:t>
      </w:r>
      <w:r w:rsidR="002D43DA" w:rsidRPr="002D43DA">
        <w:t>r</w:t>
      </w:r>
      <w:r w:rsidR="005F7AD8" w:rsidRPr="002D43DA">
        <w:t xml:space="preserve"> er oppdatert</w:t>
      </w:r>
      <w:r w:rsidR="002D43DA" w:rsidRPr="002D43DA">
        <w:t>e</w:t>
      </w:r>
      <w:r w:rsidR="005F7AD8" w:rsidRPr="002D43DA">
        <w:t xml:space="preserve"> vil dette kunne være et alternativ så lenge det ikke får konsekvenser som nevnt ovenfor med tanke på </w:t>
      </w:r>
      <w:r w:rsidR="002D43DA" w:rsidRPr="002D43DA">
        <w:t xml:space="preserve">«heng av uaktuelle resepter». </w:t>
      </w:r>
      <w:r w:rsidR="005F7AD8" w:rsidRPr="002D43DA">
        <w:t xml:space="preserve"> </w:t>
      </w:r>
    </w:p>
    <w:p w:rsidR="00023B27" w:rsidRDefault="00023B27" w:rsidP="00023B27">
      <w:pPr>
        <w:spacing w:after="0"/>
      </w:pPr>
    </w:p>
    <w:p w:rsidR="00023B27" w:rsidRDefault="00023B27" w:rsidP="00023B27">
      <w:pPr>
        <w:spacing w:after="0"/>
      </w:pPr>
      <w:r>
        <w:t>§5-5 Opplysninger om legemiddel og dets bruk på resept</w:t>
      </w:r>
    </w:p>
    <w:p w:rsidR="00023B27" w:rsidRDefault="00DD4DBA" w:rsidP="00FB4F06">
      <w:r>
        <w:t>Det er v</w:t>
      </w:r>
      <w:r w:rsidR="00023B27">
        <w:t>eldig bra at opplysning om bruksområde og fullstendig dosering blir obligatorisk ved rekvirering via resept.</w:t>
      </w:r>
      <w:r>
        <w:t xml:space="preserve"> Vi finner det også</w:t>
      </w:r>
      <w:r w:rsidR="00491226">
        <w:t xml:space="preserve"> </w:t>
      </w:r>
      <w:r w:rsidR="00FB4F06">
        <w:t>OK med virkestoffrekvirering i og med at det gjøre</w:t>
      </w:r>
      <w:r>
        <w:t>s</w:t>
      </w:r>
      <w:r w:rsidR="00FB4F06">
        <w:t xml:space="preserve"> mange generiske bytter nå. Det bør derimot være krav til merking ved endring av preparat slik at man ikke risikerer at pasient tar dobbelt opp.</w:t>
      </w:r>
    </w:p>
    <w:p w:rsidR="00023B27" w:rsidRDefault="00023B27" w:rsidP="00023B27">
      <w:pPr>
        <w:spacing w:after="0"/>
      </w:pPr>
      <w:r>
        <w:t>§5-8 Særregler for resept for legemidler i reseptgruppe A og B</w:t>
      </w:r>
    </w:p>
    <w:p w:rsidR="006648AF" w:rsidRDefault="006648AF" w:rsidP="006648AF">
      <w:pPr>
        <w:spacing w:after="0"/>
      </w:pPr>
      <w:r>
        <w:t>Bestemmelse om at kun minste pakning eller vanlig terapeutisk dose i tre døgn av disse preparatene kan rekvireres på annen måte enn via Reseptformidleren kan skape utfordringer for leger som rekvirerer muntlig i apotek (ved oppmøte i apoteket) og ved rekvirering av smerteblandinger til hjemmeboende pasienter (som foreløpig ikke foregår elektronisk).</w:t>
      </w:r>
    </w:p>
    <w:p w:rsidR="006A0B09" w:rsidRDefault="006A0B09" w:rsidP="00023B27">
      <w:pPr>
        <w:spacing w:after="0"/>
      </w:pPr>
    </w:p>
    <w:p w:rsidR="0099507A" w:rsidRDefault="000425E8" w:rsidP="006A0B09">
      <w:r w:rsidRPr="000425E8">
        <w:t>§ 7-5 Rekvirering til lokalt legemiddellager</w:t>
      </w:r>
      <w:r>
        <w:br/>
        <w:t>Det hadde vært ønskelig om man også her kunne beskrive «delegert rekvirering»</w:t>
      </w:r>
      <w:r w:rsidR="0099507A">
        <w:t xml:space="preserve"> til pasient</w:t>
      </w:r>
      <w:r w:rsidR="00F56A10">
        <w:t xml:space="preserve">. </w:t>
      </w:r>
    </w:p>
    <w:p w:rsidR="00F56A10" w:rsidRDefault="00F56A10" w:rsidP="006A0B09">
      <w:r>
        <w:t xml:space="preserve">Delegert rekvirering til lager etter legemiddelhåndteringsforskriften forutsetter at det er utarbeidet liste over hvilke legemidler dette gjelder. </w:t>
      </w:r>
      <w:r w:rsidR="00AC1E34">
        <w:t>B</w:t>
      </w:r>
      <w:r>
        <w:t>estemmelsene i legemiddelhåndteringsforskriften vil ikke fullt ut erstatte bestemmelsen som har vært om farmasøyters rett til rekvirering til farmasøytisk avdeling.</w:t>
      </w:r>
    </w:p>
    <w:p w:rsidR="00410D3F" w:rsidRPr="00AA3265" w:rsidRDefault="007255C2" w:rsidP="00410D3F">
      <w:pPr>
        <w:pStyle w:val="Merknadstekst"/>
        <w:rPr>
          <w:rFonts w:asciiTheme="minorHAnsi" w:hAnsiTheme="minorHAnsi" w:cstheme="minorHAnsi"/>
          <w:sz w:val="22"/>
          <w:szCs w:val="22"/>
        </w:rPr>
      </w:pPr>
      <w:r w:rsidRPr="00410D3F">
        <w:rPr>
          <w:sz w:val="22"/>
        </w:rPr>
        <w:t>§ 9-1 Farmasøytkontroll</w:t>
      </w:r>
      <w:r>
        <w:br/>
      </w:r>
      <w:r w:rsidR="00410D3F" w:rsidRPr="00AA3265">
        <w:rPr>
          <w:rFonts w:asciiTheme="minorHAnsi" w:hAnsiTheme="minorHAnsi" w:cstheme="minorHAnsi"/>
          <w:sz w:val="22"/>
          <w:szCs w:val="22"/>
        </w:rPr>
        <w:t xml:space="preserve">Krav til farmasøytkontroll ved ekspedering av leveranser til pasientspesifikk legemiddelsløyfe bør beskrives, spesielt med tanke på hva kontrollen skal innebære. </w:t>
      </w:r>
    </w:p>
    <w:p w:rsidR="00410D3F" w:rsidRPr="00AA3265" w:rsidRDefault="00410D3F" w:rsidP="00410D3F">
      <w:pPr>
        <w:pStyle w:val="Merknadstekst"/>
        <w:rPr>
          <w:rFonts w:asciiTheme="minorHAnsi" w:hAnsiTheme="minorHAnsi" w:cstheme="minorHAnsi"/>
          <w:sz w:val="22"/>
          <w:szCs w:val="22"/>
        </w:rPr>
      </w:pPr>
      <w:r w:rsidRPr="00AA3265">
        <w:rPr>
          <w:rFonts w:asciiTheme="minorHAnsi" w:hAnsiTheme="minorHAnsi" w:cstheme="minorHAnsi"/>
          <w:sz w:val="22"/>
          <w:szCs w:val="22"/>
        </w:rPr>
        <w:t>Det bør legges til rette for farmasøytkontroll av alle for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AA326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AA3265">
        <w:rPr>
          <w:rFonts w:asciiTheme="minorHAnsi" w:hAnsiTheme="minorHAnsi" w:cstheme="minorHAnsi"/>
          <w:sz w:val="22"/>
          <w:szCs w:val="22"/>
        </w:rPr>
        <w:t xml:space="preserve">inger på sykehus for alle relevante pasienter med støtte av digitale løsninger. Kontrollen bør være tilsvarende som for ordinær farmasøytkontroll av resepter. </w:t>
      </w:r>
    </w:p>
    <w:p w:rsidR="00410D3F" w:rsidRPr="00AA3265" w:rsidRDefault="00410D3F" w:rsidP="00410D3F">
      <w:pPr>
        <w:pStyle w:val="Merknadstekst"/>
        <w:rPr>
          <w:rFonts w:asciiTheme="minorHAnsi" w:hAnsiTheme="minorHAnsi" w:cstheme="minorHAnsi"/>
          <w:sz w:val="22"/>
          <w:szCs w:val="22"/>
        </w:rPr>
      </w:pPr>
      <w:r w:rsidRPr="00AA3265">
        <w:rPr>
          <w:rFonts w:asciiTheme="minorHAnsi" w:hAnsiTheme="minorHAnsi" w:cstheme="minorHAnsi"/>
          <w:sz w:val="22"/>
          <w:szCs w:val="22"/>
        </w:rPr>
        <w:lastRenderedPageBreak/>
        <w:t xml:space="preserve">Det bør være et absolutt krav om farmasøytkontroll tilsvarende vanlig reseptkontroll før pakking av pasientspesifikke endoser. </w:t>
      </w:r>
    </w:p>
    <w:p w:rsidR="003D67EC" w:rsidRPr="00B40FA1" w:rsidRDefault="00410D3F" w:rsidP="00B40FA1">
      <w:pPr>
        <w:pStyle w:val="Merknadstekst"/>
        <w:rPr>
          <w:rFonts w:asciiTheme="minorHAnsi" w:hAnsiTheme="minorHAnsi" w:cstheme="minorHAnsi"/>
          <w:sz w:val="22"/>
          <w:szCs w:val="22"/>
        </w:rPr>
      </w:pPr>
      <w:r w:rsidRPr="00AA3265">
        <w:rPr>
          <w:rFonts w:asciiTheme="minorHAnsi" w:hAnsiTheme="minorHAnsi" w:cstheme="minorHAnsi"/>
          <w:sz w:val="22"/>
          <w:szCs w:val="22"/>
        </w:rPr>
        <w:t xml:space="preserve">Det bør også utredes muligheten for at farmasøyter kan utføre endringer i forordningen innenfor gitte rammer. </w:t>
      </w:r>
    </w:p>
    <w:p w:rsidR="003D67EC" w:rsidRPr="003D67EC" w:rsidRDefault="003D67EC" w:rsidP="003D67EC">
      <w:pPr>
        <w:rPr>
          <w:color w:val="000000"/>
        </w:rPr>
      </w:pPr>
      <w:r w:rsidRPr="003D67EC">
        <w:rPr>
          <w:color w:val="000000"/>
        </w:rPr>
        <w:t>§ 11-3 Oppbevaring av muntlige og elektro</w:t>
      </w:r>
      <w:r>
        <w:rPr>
          <w:color w:val="000000"/>
        </w:rPr>
        <w:t>niske resepter og rekvisisjoner</w:t>
      </w:r>
      <w:r>
        <w:rPr>
          <w:color w:val="000000"/>
        </w:rPr>
        <w:br/>
      </w:r>
      <w:r w:rsidRPr="003D67EC">
        <w:rPr>
          <w:color w:val="000000"/>
        </w:rPr>
        <w:t>I høringsdokumentet fastslås det at telefaks er et utdatert kommunikasjonsmiddel, og ikke et tilstrekkelig sikkert kommunikasjonsmiddel for overføringer av pasientopplysninger (s 16).</w:t>
      </w:r>
    </w:p>
    <w:p w:rsidR="003D67EC" w:rsidRDefault="003D67EC" w:rsidP="003D67EC">
      <w:pPr>
        <w:rPr>
          <w:color w:val="000000"/>
        </w:rPr>
      </w:pPr>
      <w:r w:rsidRPr="003D67EC">
        <w:rPr>
          <w:color w:val="000000"/>
        </w:rPr>
        <w:t>Selv om vi kan være enig i denne konklusjonen er realiteten den at faks i helsevesenet i mangel på andre egnede kommunikasjonsmuligheter brukes til mer enn til rekvirering av multidose, for eksempel bestilling av reseptmedisin til brukere av hjemmesykepleien. Det bør vurderes å regulere bruk av telefaks i forskriftsgrunnlaget, da vi mener det kan være for tidlig å fjerne dette i 2022.</w:t>
      </w:r>
    </w:p>
    <w:p w:rsidR="00143960" w:rsidRPr="00965CC9" w:rsidRDefault="007F448D" w:rsidP="00965CC9">
      <w:pPr>
        <w:rPr>
          <w:color w:val="000000"/>
        </w:rPr>
      </w:pPr>
      <w:r w:rsidRPr="007F448D">
        <w:rPr>
          <w:color w:val="000000"/>
        </w:rPr>
        <w:t>§ 11-4 Opplysninger om ekspedisjon og utlevering</w:t>
      </w:r>
      <w:r>
        <w:rPr>
          <w:color w:val="000000"/>
        </w:rPr>
        <w:br/>
      </w:r>
      <w:r w:rsidR="002B6494">
        <w:rPr>
          <w:color w:val="000000"/>
        </w:rPr>
        <w:t>Det oppgis at apoteket skal registrere id-nr</w:t>
      </w:r>
      <w:r w:rsidR="00965CC9">
        <w:rPr>
          <w:color w:val="000000"/>
        </w:rPr>
        <w:t>.</w:t>
      </w:r>
      <w:r w:rsidR="002B6494">
        <w:rPr>
          <w:color w:val="000000"/>
        </w:rPr>
        <w:t xml:space="preserve"> på rekvirent ved ekspedisjon og utlevering av legemidler </w:t>
      </w:r>
      <w:r w:rsidR="00D805E9">
        <w:rPr>
          <w:color w:val="000000"/>
        </w:rPr>
        <w:t xml:space="preserve">etter resept </w:t>
      </w:r>
      <w:r w:rsidR="002B6494">
        <w:rPr>
          <w:color w:val="000000"/>
        </w:rPr>
        <w:t>og rekvisisjon. Det stilles spørsmål ti</w:t>
      </w:r>
      <w:r w:rsidR="00F24698">
        <w:rPr>
          <w:color w:val="000000"/>
        </w:rPr>
        <w:t xml:space="preserve">l om dette er nødvendig ved elektroniske resepter da lege er pålogget med personlig ID. </w:t>
      </w:r>
    </w:p>
    <w:p w:rsidR="00023B27" w:rsidRPr="00143960" w:rsidRDefault="00023B27" w:rsidP="00143960">
      <w:pPr>
        <w:shd w:val="clear" w:color="auto" w:fill="FFFFFF"/>
        <w:spacing w:after="0" w:line="240" w:lineRule="auto"/>
        <w:rPr>
          <w:color w:val="282828"/>
        </w:rPr>
      </w:pPr>
    </w:p>
    <w:p w:rsidR="00410D31" w:rsidRDefault="00410D31" w:rsidP="00410D31">
      <w:pPr>
        <w:shd w:val="clear" w:color="auto" w:fill="FFFFFF"/>
        <w:rPr>
          <w:color w:val="282828"/>
        </w:rPr>
      </w:pPr>
      <w:r>
        <w:rPr>
          <w:color w:val="282828"/>
        </w:rPr>
        <w:t>Hilsen</w:t>
      </w:r>
    </w:p>
    <w:p w:rsidR="00410D31" w:rsidRDefault="00410D31" w:rsidP="00410D3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Håvard Kirkevold</w:t>
      </w:r>
    </w:p>
    <w:p w:rsidR="00410D31" w:rsidRDefault="00410D31" w:rsidP="00410D3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Leder</w:t>
      </w:r>
    </w:p>
    <w:p w:rsidR="00410D31" w:rsidRDefault="00410D31" w:rsidP="00410D3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Norske Sykehusfarmasøyters Forening</w:t>
      </w:r>
    </w:p>
    <w:p w:rsidR="00410D31" w:rsidRPr="002B641E" w:rsidRDefault="00B40FA1" w:rsidP="00410D31">
      <w:pPr>
        <w:shd w:val="clear" w:color="auto" w:fill="FFFFFF"/>
        <w:spacing w:after="0"/>
        <w:rPr>
          <w:rFonts w:eastAsia="Calibri" w:cs="Times New Roman"/>
          <w:lang w:val="nn-NO"/>
        </w:rPr>
      </w:pPr>
      <w:hyperlink r:id="rId6" w:history="1">
        <w:r w:rsidR="00410D31" w:rsidRPr="008120E9">
          <w:rPr>
            <w:rStyle w:val="Hyperkobling"/>
            <w:rFonts w:eastAsia="Calibri" w:cs="Times New Roman"/>
            <w:lang w:val="nn-NO"/>
          </w:rPr>
          <w:t>www.sykehusfarmasi.org</w:t>
        </w:r>
      </w:hyperlink>
    </w:p>
    <w:p w:rsidR="009D5EFE" w:rsidRPr="00143960" w:rsidRDefault="009D5EFE" w:rsidP="00410D31">
      <w:pPr>
        <w:shd w:val="clear" w:color="auto" w:fill="FFFFFF"/>
        <w:rPr>
          <w:rFonts w:eastAsia="Calibri" w:cs="Times New Roman"/>
        </w:rPr>
      </w:pPr>
    </w:p>
    <w:sectPr w:rsidR="009D5EFE" w:rsidRPr="00143960" w:rsidSect="008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63262"/>
    <w:multiLevelType w:val="hybridMultilevel"/>
    <w:tmpl w:val="98D0F4E2"/>
    <w:lvl w:ilvl="0" w:tplc="9CFC20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0"/>
    <w:rsid w:val="00022DA5"/>
    <w:rsid w:val="00023B27"/>
    <w:rsid w:val="00025B57"/>
    <w:rsid w:val="000425E8"/>
    <w:rsid w:val="00042A1D"/>
    <w:rsid w:val="000B459A"/>
    <w:rsid w:val="00126EF0"/>
    <w:rsid w:val="00132AFD"/>
    <w:rsid w:val="00143960"/>
    <w:rsid w:val="00156490"/>
    <w:rsid w:val="00170874"/>
    <w:rsid w:val="00187A83"/>
    <w:rsid w:val="001C3D4D"/>
    <w:rsid w:val="00230474"/>
    <w:rsid w:val="0026744F"/>
    <w:rsid w:val="002759B2"/>
    <w:rsid w:val="00284411"/>
    <w:rsid w:val="0028654A"/>
    <w:rsid w:val="002940DA"/>
    <w:rsid w:val="002B641E"/>
    <w:rsid w:val="002B6494"/>
    <w:rsid w:val="002D43DA"/>
    <w:rsid w:val="0030289C"/>
    <w:rsid w:val="003301DD"/>
    <w:rsid w:val="00331506"/>
    <w:rsid w:val="00362CAD"/>
    <w:rsid w:val="003934B5"/>
    <w:rsid w:val="003B2591"/>
    <w:rsid w:val="003D67EC"/>
    <w:rsid w:val="003F4EA5"/>
    <w:rsid w:val="00401C4A"/>
    <w:rsid w:val="00410D31"/>
    <w:rsid w:val="00410D3F"/>
    <w:rsid w:val="00420DE3"/>
    <w:rsid w:val="004868D9"/>
    <w:rsid w:val="00491226"/>
    <w:rsid w:val="004B11D0"/>
    <w:rsid w:val="004C5C1B"/>
    <w:rsid w:val="004D7D44"/>
    <w:rsid w:val="004E19AC"/>
    <w:rsid w:val="004E7FDF"/>
    <w:rsid w:val="00526507"/>
    <w:rsid w:val="00530E34"/>
    <w:rsid w:val="0054519D"/>
    <w:rsid w:val="005663DC"/>
    <w:rsid w:val="005963B1"/>
    <w:rsid w:val="005B10FB"/>
    <w:rsid w:val="005E08CF"/>
    <w:rsid w:val="005F7AD8"/>
    <w:rsid w:val="006177D8"/>
    <w:rsid w:val="006359C3"/>
    <w:rsid w:val="006648AF"/>
    <w:rsid w:val="00673A2B"/>
    <w:rsid w:val="006A0B09"/>
    <w:rsid w:val="006D603F"/>
    <w:rsid w:val="0070672E"/>
    <w:rsid w:val="007255C2"/>
    <w:rsid w:val="00750890"/>
    <w:rsid w:val="00750A3A"/>
    <w:rsid w:val="00766E11"/>
    <w:rsid w:val="007772B5"/>
    <w:rsid w:val="00787B5A"/>
    <w:rsid w:val="007A51AC"/>
    <w:rsid w:val="007F448D"/>
    <w:rsid w:val="00805D31"/>
    <w:rsid w:val="00833428"/>
    <w:rsid w:val="00854E3F"/>
    <w:rsid w:val="008A5E7F"/>
    <w:rsid w:val="008C6871"/>
    <w:rsid w:val="008D6861"/>
    <w:rsid w:val="008D69A0"/>
    <w:rsid w:val="008E69EE"/>
    <w:rsid w:val="008E7104"/>
    <w:rsid w:val="008E7FEE"/>
    <w:rsid w:val="00902411"/>
    <w:rsid w:val="00914FF6"/>
    <w:rsid w:val="0096103A"/>
    <w:rsid w:val="00963B80"/>
    <w:rsid w:val="00965CC9"/>
    <w:rsid w:val="0099507A"/>
    <w:rsid w:val="009A4AF7"/>
    <w:rsid w:val="009B1A12"/>
    <w:rsid w:val="009B1BB4"/>
    <w:rsid w:val="009C6AA2"/>
    <w:rsid w:val="009D5EFE"/>
    <w:rsid w:val="009D7704"/>
    <w:rsid w:val="00A81AB8"/>
    <w:rsid w:val="00A923CC"/>
    <w:rsid w:val="00AA2437"/>
    <w:rsid w:val="00AC1E34"/>
    <w:rsid w:val="00AC41E0"/>
    <w:rsid w:val="00AD64CC"/>
    <w:rsid w:val="00B243D9"/>
    <w:rsid w:val="00B31DF7"/>
    <w:rsid w:val="00B40FA1"/>
    <w:rsid w:val="00B5444E"/>
    <w:rsid w:val="00B60CEF"/>
    <w:rsid w:val="00B659AB"/>
    <w:rsid w:val="00B7014F"/>
    <w:rsid w:val="00B70FD5"/>
    <w:rsid w:val="00B955F8"/>
    <w:rsid w:val="00BA13AE"/>
    <w:rsid w:val="00BB26B7"/>
    <w:rsid w:val="00BD1ADF"/>
    <w:rsid w:val="00BE2C82"/>
    <w:rsid w:val="00C60D7D"/>
    <w:rsid w:val="00CB1E40"/>
    <w:rsid w:val="00CD5D4F"/>
    <w:rsid w:val="00D468C0"/>
    <w:rsid w:val="00D805E9"/>
    <w:rsid w:val="00DA2D2C"/>
    <w:rsid w:val="00DC2692"/>
    <w:rsid w:val="00DD4DBA"/>
    <w:rsid w:val="00DD4FB2"/>
    <w:rsid w:val="00E11D6A"/>
    <w:rsid w:val="00E46350"/>
    <w:rsid w:val="00E46E20"/>
    <w:rsid w:val="00E73A59"/>
    <w:rsid w:val="00E83AA2"/>
    <w:rsid w:val="00E8680B"/>
    <w:rsid w:val="00E96A6B"/>
    <w:rsid w:val="00EA476C"/>
    <w:rsid w:val="00EE4F02"/>
    <w:rsid w:val="00EE698A"/>
    <w:rsid w:val="00F02C16"/>
    <w:rsid w:val="00F24698"/>
    <w:rsid w:val="00F56A10"/>
    <w:rsid w:val="00F85244"/>
    <w:rsid w:val="00F8717E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87F8"/>
  <w15:docId w15:val="{AD63E8AC-9021-4AC8-BDD7-EAFD3BB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3A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0D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23B2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E83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410D3F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0D3F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ehusfarmasi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1097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Trelnes</dc:creator>
  <cp:lastModifiedBy>Sæther, Lene</cp:lastModifiedBy>
  <cp:revision>16</cp:revision>
  <dcterms:created xsi:type="dcterms:W3CDTF">2020-11-17T14:19:00Z</dcterms:created>
  <dcterms:modified xsi:type="dcterms:W3CDTF">2021-01-08T11:21:00Z</dcterms:modified>
</cp:coreProperties>
</file>